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267" w:rsidRDefault="00447267">
      <w:r>
        <w:t>Name</w:t>
      </w:r>
    </w:p>
    <w:p w:rsidR="0017688A" w:rsidRDefault="0017688A">
      <w:r>
        <w:t>Course Information</w:t>
      </w:r>
    </w:p>
    <w:p w:rsidR="00447267" w:rsidRDefault="00447267" w:rsidP="00447267">
      <w:pPr>
        <w:rPr>
          <w:b/>
        </w:rPr>
      </w:pPr>
    </w:p>
    <w:p w:rsidR="007F3814" w:rsidRPr="00447267" w:rsidRDefault="00447267" w:rsidP="00447267">
      <w:pPr>
        <w:rPr>
          <w:b/>
        </w:rPr>
      </w:pPr>
      <w:r w:rsidRPr="00447267">
        <w:rPr>
          <w:b/>
        </w:rPr>
        <w:t xml:space="preserve">1. </w:t>
      </w:r>
      <w:r w:rsidR="00FC31C3" w:rsidRPr="00447267">
        <w:rPr>
          <w:b/>
        </w:rPr>
        <w:t>How did Lord Macartney help define modern practice in foreign relations?</w:t>
      </w:r>
    </w:p>
    <w:p w:rsidR="00FC31C3" w:rsidRDefault="00FC31C3">
      <w:r>
        <w:t xml:space="preserve">Macartney went down in history as the first official government ambassador to China. Sent by Great Britain, his primary goal was to convince Emperor Qianlong to ease trade restrictions between China and Great Britain by allowing a permanent embassy in Beijing in addition to reduced tariffs on traders. The embassy marked a turning point in relations between the East and the West. From that point onwards, foreign relations focused primarily on diplomacy rather than use of force or openly manipulative tactics to achieve goals for one side. Through the meetings with the Emperor, Macartney highlighted an emphasis on national interest. He aimed to advance the national interests of his state through progressive arguments. It is a feature which still applies today as diplomatic missions address national interests first and foremost but do so in as mutually beneficial a way as possible. Another important feature of foreign relations shown by Macartney is his willingness to trust that the agreement would be upheld. Despite previous actions by the Emperor not being </w:t>
      </w:r>
      <w:r w:rsidR="00275A74">
        <w:t>appropriate as expected by Great Britain, Macartney focused on confidence-building to bridge the gap between the two nations. This is a characteristic of foreign relations which is emphasized upon today as it fosters dialogue and lays the groundwork for future exchanges.</w:t>
      </w:r>
      <w:r w:rsidR="0060293F">
        <w:t xml:space="preserve"> Another crucial aspect was that of decisiveness. Macartney clearly stated the intentions of Great Britain and affirmed that he would not bow and kneel to the Emperor unless a high ranking Chinese officer of state did the same to a picture of the King of England. This set a precedent of mutual respect and ensured that both sides valued the strength of the other.</w:t>
      </w:r>
    </w:p>
    <w:p w:rsidR="00A63741" w:rsidRPr="00447267" w:rsidRDefault="00447267">
      <w:pPr>
        <w:rPr>
          <w:b/>
        </w:rPr>
      </w:pPr>
      <w:r w:rsidRPr="00447267">
        <w:rPr>
          <w:b/>
        </w:rPr>
        <w:lastRenderedPageBreak/>
        <w:t xml:space="preserve">2. </w:t>
      </w:r>
      <w:r w:rsidR="00A63741" w:rsidRPr="00447267">
        <w:rPr>
          <w:b/>
        </w:rPr>
        <w:t>How did the forced spread of the English language play a role in the sustained domination of Great Britain in Asia and Africa?</w:t>
      </w:r>
    </w:p>
    <w:p w:rsidR="00A63741" w:rsidRDefault="00A63741">
      <w:r>
        <w:t xml:space="preserve">Macaulay noted that by forcing citizens of high rank in colonies to speak English, it would </w:t>
      </w:r>
      <w:proofErr w:type="gramStart"/>
      <w:r>
        <w:t>establish</w:t>
      </w:r>
      <w:proofErr w:type="gramEnd"/>
      <w:r>
        <w:t xml:space="preserve"> it as the language of choice in those regions for the policy makers. The ruling elite would maintain the idea that the British were in charge even when there were no actual British officers around. </w:t>
      </w:r>
      <w:r w:rsidR="00C417FC">
        <w:t>English became the dominant language across Asia and Africa as young natives were taught the language. Historical records, literature and works of art were largely recorded in English. These actions resulted in Britain appearing to have untenable control over the colonies all the way into the middle of the 20</w:t>
      </w:r>
      <w:r w:rsidR="00C417FC" w:rsidRPr="00C417FC">
        <w:rPr>
          <w:vertAlign w:val="superscript"/>
        </w:rPr>
        <w:t>th</w:t>
      </w:r>
      <w:r w:rsidR="00C417FC">
        <w:t xml:space="preserve"> century. </w:t>
      </w:r>
      <w:r w:rsidR="0099409A">
        <w:t>The supposed intrinsic value of the language resulted in more power to Great Britain.</w:t>
      </w:r>
    </w:p>
    <w:p w:rsidR="00BF6F98" w:rsidRPr="00447267" w:rsidRDefault="00447267">
      <w:pPr>
        <w:rPr>
          <w:b/>
        </w:rPr>
      </w:pPr>
      <w:r w:rsidRPr="00447267">
        <w:rPr>
          <w:b/>
        </w:rPr>
        <w:t xml:space="preserve">3. </w:t>
      </w:r>
      <w:r w:rsidR="00BF6F98" w:rsidRPr="00447267">
        <w:rPr>
          <w:b/>
        </w:rPr>
        <w:t>What were the legal and judicial implications of the Regulating Act of 1773?</w:t>
      </w:r>
    </w:p>
    <w:p w:rsidR="00BF6F98" w:rsidRDefault="00BF6F98">
      <w:r>
        <w:t>The need to regulate the affairs of the East India Company brought with it an oversight system that is being used across the world to this day. The councils established to oversee the affairs of the company were the first structure in modern history which most closely resembled a Supreme Court. The Regulating Act of 1773 became the first landmark in the constitutional development of India. It was also, however, the first time that the British Parliament interfered in the affairs of India.</w:t>
      </w:r>
      <w:r w:rsidR="003014CA">
        <w:t xml:space="preserve"> This does not diminish the role of the Regulating Act in defining the roles of modern-day Supreme Court judges. It was a system whereby the decision was to be made by the majority present, similar to modern judicial systems at the highest level. In addition, the Governor General had a casting vote but did not have authority to veto. This is similar to the role of a Chief Justice. It is an indication of the judicial implications of the Regulating Act of 1773.</w:t>
      </w:r>
    </w:p>
    <w:sectPr w:rsidR="00BF6F98"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266173"/>
    <w:multiLevelType w:val="hybridMultilevel"/>
    <w:tmpl w:val="1F5A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31C3"/>
    <w:rsid w:val="0017688A"/>
    <w:rsid w:val="00275A74"/>
    <w:rsid w:val="003014CA"/>
    <w:rsid w:val="00447267"/>
    <w:rsid w:val="0060293F"/>
    <w:rsid w:val="006F4038"/>
    <w:rsid w:val="007B7D6E"/>
    <w:rsid w:val="007F3814"/>
    <w:rsid w:val="0090740A"/>
    <w:rsid w:val="0099409A"/>
    <w:rsid w:val="009B0259"/>
    <w:rsid w:val="00A63741"/>
    <w:rsid w:val="00BF6F98"/>
    <w:rsid w:val="00C417FC"/>
    <w:rsid w:val="00E354C1"/>
    <w:rsid w:val="00FC31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267"/>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2018-09-28T03:11:00Z</dcterms:created>
  <dcterms:modified xsi:type="dcterms:W3CDTF">2018-09-28T03:11:00Z</dcterms:modified>
</cp:coreProperties>
</file>